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Change of Working Days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 issued: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Issued to: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Subject: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Changes in the number of working days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management of [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Name] is excited to announce that all employees will have only four working days in a week. Due to changing business requirements, we are making some adjustments which are to take effect on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date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].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accept this as notice of the required changes.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new work schedule will be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Monday through Thursday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That means you can have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Fridays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the weekends spent with your loved ones or simply enjoy some time for yourself.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number of hours per day will not change. Hence, you can still productively fulfil that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40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working hours per week.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contact Management at any time between now and then if you have any challenges with the new schedule.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tabs>
        <w:tab w:val="center" w:pos="4596"/>
      </w:tabs>
      <w:rPr>
        <w:b w:val="1"/>
      </w:rPr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bvwLDDxSE87ic+Fnp40Rx3pSeA==">AMUW2mXxp81KXvAdpsQ4gD4DBWDibR9diQ5joofsVq4mism0+030gFCK+dOMvmddRL8V1NsYU5dpn1LOpetMQsoL3B6GlwNBVOgEjbltCQjZGbOMA4QHong=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